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tbl>
      <w:tblPr>
        <w:tblStyle w:val="Style_2"/>
        <w:tblInd w:type="dxa" w:w="25"/>
        <w:tblLayout w:type="fixed"/>
      </w:tblPr>
      <w:tblGrid>
        <w:gridCol w:w="247"/>
        <w:gridCol w:w="547"/>
        <w:gridCol w:w="1249"/>
        <w:gridCol w:w="495"/>
        <w:gridCol w:w="982"/>
        <w:gridCol w:w="1147"/>
        <w:gridCol w:w="200"/>
        <w:gridCol w:w="200"/>
        <w:gridCol w:w="200"/>
        <w:gridCol w:w="4345"/>
      </w:tblGrid>
      <w:tr>
        <w:trPr>
          <w:trHeight w:hRule="atLeast" w:val="1162"/>
        </w:trPr>
        <w:tc>
          <w:tcPr>
            <w:tcW w:type="dxa" w:w="4867"/>
            <w:gridSpan w:val="7"/>
            <w:vMerge w:val="restart"/>
          </w:tcPr>
          <w:p w14:paraId="03000000">
            <w:pPr>
              <w:spacing w:line="240" w:lineRule="auto"/>
              <w:ind/>
              <w:jc w:val="center"/>
              <w:rPr>
                <w:color w:val="000000"/>
                <w:sz w:val="16"/>
              </w:rPr>
            </w:pPr>
            <w:r>
              <w:drawing>
                <wp:inline>
                  <wp:extent cx="609600" cy="742949"/>
                  <wp:effectExtent b="0" l="0" r="0" t="0"/>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609600" cy="742949"/>
                          </a:xfrm>
                          <a:prstGeom prst="rect"/>
                        </pic:spPr>
                      </pic:pic>
                    </a:graphicData>
                  </a:graphic>
                </wp:inline>
              </w:drawing>
            </w:r>
          </w:p>
          <w:p w14:paraId="04000000">
            <w:pPr>
              <w:pStyle w:val="Style_3"/>
              <w:tabs>
                <w:tab w:leader="none" w:pos="0" w:val="left"/>
              </w:tabs>
              <w:spacing w:line="240" w:lineRule="auto"/>
              <w:ind/>
              <w:jc w:val="center"/>
              <w:rPr>
                <w:rFonts w:ascii="Times New Roman" w:hAnsi="Times New Roman"/>
                <w:b w:val="0"/>
                <w:color w:val="000000"/>
                <w:sz w:val="22"/>
              </w:rPr>
            </w:pPr>
            <w:r>
              <w:rPr>
                <w:rFonts w:ascii="Times New Roman" w:hAnsi="Times New Roman"/>
                <w:color w:val="000000"/>
                <w:sz w:val="22"/>
              </w:rPr>
              <w:t xml:space="preserve">МИНИСТЕРСТВО </w:t>
            </w:r>
            <w:r>
              <w:rPr>
                <w:rFonts w:ascii="Times New Roman" w:hAnsi="Times New Roman"/>
                <w:b w:val="1"/>
                <w:color w:val="000000"/>
                <w:sz w:val="22"/>
              </w:rPr>
              <w:t>СТРОИТЕЛЬСТВА</w:t>
            </w:r>
          </w:p>
          <w:p w14:paraId="05000000">
            <w:pPr>
              <w:spacing w:line="240" w:lineRule="atLeast"/>
              <w:ind/>
              <w:jc w:val="center"/>
              <w:rPr>
                <w:rFonts w:ascii="Times New Roman" w:hAnsi="Times New Roman"/>
                <w:b w:val="1"/>
                <w:caps w:val="1"/>
                <w:color w:val="000000"/>
                <w:sz w:val="22"/>
              </w:rPr>
            </w:pPr>
            <w:r>
              <w:rPr>
                <w:rFonts w:ascii="Times New Roman" w:hAnsi="Times New Roman"/>
                <w:b w:val="1"/>
                <w:caps w:val="1"/>
                <w:color w:val="000000"/>
                <w:sz w:val="22"/>
              </w:rPr>
              <w:t>Омской области</w:t>
            </w:r>
          </w:p>
          <w:p w14:paraId="06000000">
            <w:pPr>
              <w:spacing w:line="240" w:lineRule="atLeast"/>
              <w:ind/>
              <w:jc w:val="center"/>
              <w:rPr>
                <w:color w:val="000000"/>
              </w:rPr>
            </w:pPr>
            <w:r>
              <w:rPr>
                <w:color w:val="000000"/>
              </w:rPr>
              <w:t>(Минстрой Омской области)</w:t>
            </w:r>
          </w:p>
        </w:tc>
        <w:tc>
          <w:tcPr>
            <w:tcW w:type="dxa" w:w="400"/>
            <w:gridSpan w:val="2"/>
            <w:shd w:fill="auto" w:val="clear"/>
          </w:tcPr>
          <w:p w14:paraId="07000000">
            <w:pPr>
              <w:rPr>
                <w:color w:val="000000"/>
                <w:sz w:val="28"/>
              </w:rPr>
            </w:pPr>
          </w:p>
        </w:tc>
        <w:tc>
          <w:tcPr>
            <w:tcW w:type="dxa" w:w="4345"/>
            <w:shd w:fill="auto" w:val="clear"/>
          </w:tcPr>
          <w:p w14:paraId="08000000"/>
        </w:tc>
      </w:tr>
      <w:tr>
        <w:trPr>
          <w:trHeight w:hRule="atLeast" w:val="975"/>
        </w:trPr>
        <w:tc>
          <w:tcPr>
            <w:tcW w:type="dxa" w:w="4867"/>
            <w:gridSpan w:val="7"/>
            <w:vMerge w:val="continue"/>
          </w:tcPr>
          <w:p/>
        </w:tc>
        <w:tc>
          <w:tcPr>
            <w:tcW w:type="dxa" w:w="400"/>
            <w:gridSpan w:val="2"/>
          </w:tcPr>
          <w:p w14:paraId="09000000">
            <w:pPr>
              <w:rPr>
                <w:color w:val="000000"/>
                <w:sz w:val="28"/>
              </w:rPr>
            </w:pPr>
          </w:p>
        </w:tc>
        <w:tc>
          <w:tcPr>
            <w:tcW w:type="dxa" w:w="4345"/>
            <w:vMerge w:val="restart"/>
          </w:tcPr>
          <w:p w14:paraId="0A000000">
            <w:pPr>
              <w:tabs>
                <w:tab w:leader="none" w:pos="5320" w:val="left"/>
              </w:tabs>
              <w:ind/>
              <w:rPr>
                <w:color w:val="000000"/>
                <w:sz w:val="16"/>
              </w:rPr>
            </w:pPr>
          </w:p>
          <w:p w14:paraId="0B000000">
            <w:pPr>
              <w:tabs>
                <w:tab w:leader="none" w:pos="5320" w:val="left"/>
              </w:tabs>
              <w:ind/>
              <w:rPr>
                <w:color w:val="000000"/>
                <w:sz w:val="28"/>
              </w:rPr>
            </w:pPr>
            <w:r>
              <w:rPr>
                <w:color w:val="000000"/>
                <w:sz w:val="28"/>
              </w:rPr>
              <w:t xml:space="preserve">Временно </w:t>
            </w:r>
            <w:r>
              <w:rPr>
                <w:color w:val="000000"/>
                <w:sz w:val="28"/>
              </w:rPr>
              <w:t>исполняющему</w:t>
            </w:r>
            <w:r>
              <w:rPr>
                <w:color w:val="000000"/>
                <w:sz w:val="28"/>
              </w:rPr>
              <w:t xml:space="preserve"> обязанности Президента</w:t>
            </w:r>
            <w:r>
              <w:br/>
            </w:r>
            <w:r>
              <w:rPr>
                <w:color w:val="000000"/>
                <w:sz w:val="28"/>
              </w:rPr>
              <w:t>РОР «Союз строителей Омской области»</w:t>
            </w:r>
          </w:p>
          <w:p w14:paraId="0C000000">
            <w:pPr>
              <w:tabs>
                <w:tab w:leader="none" w:pos="5320" w:val="left"/>
              </w:tabs>
              <w:ind/>
              <w:rPr>
                <w:color w:val="000000"/>
                <w:sz w:val="28"/>
              </w:rPr>
            </w:pPr>
          </w:p>
          <w:p w14:paraId="0D000000">
            <w:pPr>
              <w:ind/>
              <w:jc w:val="both"/>
              <w:rPr>
                <w:color w:val="000000"/>
                <w:sz w:val="28"/>
              </w:rPr>
            </w:pPr>
            <w:r>
              <w:rPr>
                <w:color w:val="000000"/>
                <w:sz w:val="28"/>
              </w:rPr>
              <w:t xml:space="preserve">Ю.М. </w:t>
            </w:r>
            <w:r>
              <w:rPr>
                <w:color w:val="000000"/>
                <w:sz w:val="28"/>
              </w:rPr>
              <w:t>Мосенкису</w:t>
            </w:r>
          </w:p>
        </w:tc>
      </w:tr>
      <w:tr>
        <w:tc>
          <w:tcPr>
            <w:tcW w:type="dxa" w:w="4867"/>
            <w:gridSpan w:val="7"/>
          </w:tcPr>
          <w:p w14:paraId="0E000000">
            <w:pPr>
              <w:ind/>
              <w:jc w:val="center"/>
              <w:rPr>
                <w:color w:val="000000"/>
              </w:rPr>
            </w:pPr>
            <w:r>
              <w:rPr>
                <w:color w:val="000000"/>
              </w:rPr>
              <w:t>Некрасова ул., 3/1, г. Омск, 644099</w:t>
            </w:r>
          </w:p>
          <w:p w14:paraId="0F000000">
            <w:pPr>
              <w:ind/>
              <w:jc w:val="center"/>
              <w:rPr>
                <w:color w:val="000000"/>
              </w:rPr>
            </w:pPr>
            <w:r>
              <w:rPr>
                <w:color w:val="000000"/>
              </w:rPr>
              <w:t>Тел.: (3812) 77-03-84</w:t>
            </w:r>
          </w:p>
          <w:p w14:paraId="10000000">
            <w:pPr>
              <w:ind/>
              <w:jc w:val="center"/>
              <w:rPr>
                <w:color w:val="000000"/>
              </w:rPr>
            </w:pPr>
            <w:r>
              <w:rPr>
                <w:color w:val="000000"/>
              </w:rPr>
              <w:t>e</w:t>
            </w:r>
            <w:r>
              <w:rPr>
                <w:color w:val="000000"/>
              </w:rPr>
              <w:t>-</w:t>
            </w:r>
            <w:r>
              <w:rPr>
                <w:color w:val="000000"/>
              </w:rPr>
              <w:t>mail</w:t>
            </w:r>
            <w:r>
              <w:rPr>
                <w:color w:val="000000"/>
              </w:rPr>
              <w:t xml:space="preserve">: </w:t>
            </w:r>
            <w:r>
              <w:rPr>
                <w:rStyle w:val="Style_4_ch"/>
                <w:color w:val="000000"/>
              </w:rPr>
              <w:fldChar w:fldCharType="begin"/>
            </w:r>
            <w:r>
              <w:rPr>
                <w:rStyle w:val="Style_4_ch"/>
                <w:color w:val="000000"/>
              </w:rPr>
              <w:instrText>HYPERLINK "mailto:minstroy@omskportal.ru"</w:instrText>
            </w:r>
            <w:r>
              <w:rPr>
                <w:rStyle w:val="Style_4_ch"/>
                <w:color w:val="000000"/>
              </w:rPr>
              <w:fldChar w:fldCharType="separate"/>
            </w:r>
            <w:r>
              <w:rPr>
                <w:rStyle w:val="Style_4_ch"/>
                <w:color w:val="000000"/>
              </w:rPr>
              <w:t>minstroy</w:t>
            </w:r>
            <w:r>
              <w:rPr>
                <w:rStyle w:val="Style_4_ch"/>
                <w:color w:val="000000"/>
              </w:rPr>
              <w:t>@</w:t>
            </w:r>
            <w:r>
              <w:rPr>
                <w:rStyle w:val="Style_4_ch"/>
                <w:color w:val="000000"/>
              </w:rPr>
              <w:t>omskportal</w:t>
            </w:r>
            <w:r>
              <w:rPr>
                <w:rStyle w:val="Style_4_ch"/>
                <w:color w:val="000000"/>
              </w:rPr>
              <w:t>.</w:t>
            </w:r>
            <w:r>
              <w:rPr>
                <w:rStyle w:val="Style_4_ch"/>
                <w:color w:val="000000"/>
              </w:rPr>
              <w:t>ru</w:t>
            </w:r>
            <w:r>
              <w:rPr>
                <w:rStyle w:val="Style_4_ch"/>
                <w:color w:val="000000"/>
              </w:rPr>
              <w:fldChar w:fldCharType="end"/>
            </w:r>
          </w:p>
          <w:p w14:paraId="11000000">
            <w:pPr>
              <w:ind/>
              <w:jc w:val="center"/>
              <w:rPr>
                <w:color w:val="000000"/>
              </w:rPr>
            </w:pPr>
            <w:r>
              <w:rPr>
                <w:color w:val="000000"/>
              </w:rPr>
              <w:t>ОКПО 71087370; ОГРН 1045504010925; ИНН/КПП 5503080121/550301001</w:t>
            </w:r>
          </w:p>
        </w:tc>
        <w:tc>
          <w:tcPr>
            <w:tcW w:type="dxa" w:w="400"/>
            <w:gridSpan w:val="2"/>
          </w:tcPr>
          <w:p w14:paraId="12000000">
            <w:pPr>
              <w:rPr>
                <w:color w:val="000000"/>
                <w:sz w:val="28"/>
              </w:rPr>
            </w:pPr>
          </w:p>
        </w:tc>
        <w:tc>
          <w:tcPr>
            <w:tcW w:type="dxa" w:w="4345"/>
            <w:gridSpan w:val="1"/>
            <w:vMerge w:val="continue"/>
          </w:tcPr>
          <w:p/>
        </w:tc>
      </w:tr>
      <w:tr>
        <w:tc>
          <w:tcPr>
            <w:tcW w:type="dxa" w:w="2043"/>
            <w:gridSpan w:val="3"/>
            <w:tcBorders>
              <w:top w:color="000000" w:sz="4" w:val="nil"/>
              <w:left w:color="000000" w:sz="4" w:val="nil"/>
              <w:bottom w:color="000000" w:sz="6" w:val="single"/>
              <w:right w:color="000000" w:sz="4" w:val="nil"/>
              <w:tl2br w:color="000000" w:sz="4" w:val="nil"/>
              <w:tr2bl w:color="000000" w:sz="4" w:val="nil"/>
            </w:tcBorders>
            <w:vAlign w:val="bottom"/>
          </w:tcPr>
          <w:p w14:paraId="13000000">
            <w:pPr>
              <w:spacing w:before="120"/>
              <w:ind/>
              <w:jc w:val="center"/>
              <w:rPr>
                <w:b w:val="0"/>
                <w:color w:val="000000"/>
                <w:sz w:val="12"/>
              </w:rPr>
            </w:pPr>
          </w:p>
        </w:tc>
        <w:tc>
          <w:tcPr>
            <w:tcW w:type="dxa" w:w="495"/>
            <w:tcBorders>
              <w:top w:color="000000" w:sz="4" w:val="nil"/>
              <w:left w:color="000000" w:sz="4" w:val="nil"/>
              <w:bottom w:color="000000" w:sz="4" w:val="nil"/>
              <w:right w:color="000000" w:sz="4" w:val="nil"/>
              <w:tl2br w:color="000000" w:sz="4" w:val="nil"/>
              <w:tr2bl w:color="000000" w:sz="4" w:val="nil"/>
            </w:tcBorders>
            <w:vAlign w:val="bottom"/>
          </w:tcPr>
          <w:p w14:paraId="14000000">
            <w:pPr>
              <w:spacing w:before="120"/>
              <w:ind/>
              <w:jc w:val="right"/>
              <w:rPr>
                <w:color w:val="000000"/>
                <w:sz w:val="24"/>
                <w:u w:val="none"/>
              </w:rPr>
            </w:pPr>
            <w:r>
              <w:rPr>
                <w:color w:val="000000"/>
                <w:sz w:val="24"/>
                <w:u w:val="none"/>
              </w:rPr>
              <w:t>№</w:t>
            </w:r>
          </w:p>
        </w:tc>
        <w:tc>
          <w:tcPr>
            <w:tcW w:type="dxa" w:w="2329"/>
            <w:gridSpan w:val="3"/>
            <w:tcBorders>
              <w:top w:color="000000" w:sz="4" w:val="nil"/>
              <w:left w:color="000000" w:sz="4" w:val="nil"/>
              <w:bottom w:color="000000" w:sz="6" w:val="single"/>
              <w:right w:color="000000" w:sz="4" w:val="nil"/>
              <w:tl2br w:color="000000" w:sz="4" w:val="nil"/>
              <w:tr2bl w:color="000000" w:sz="4" w:val="nil"/>
            </w:tcBorders>
            <w:vAlign w:val="bottom"/>
          </w:tcPr>
          <w:p w14:paraId="15000000"/>
        </w:tc>
        <w:tc>
          <w:tcPr>
            <w:tcW w:type="dxa" w:w="400"/>
            <w:gridSpan w:val="2"/>
            <w:tcBorders>
              <w:top w:color="000000" w:sz="4" w:val="nil"/>
              <w:left w:color="000000" w:sz="4" w:val="nil"/>
              <w:bottom w:color="000000" w:sz="4" w:val="nil"/>
              <w:right w:color="000000" w:sz="4" w:val="nil"/>
              <w:tl2br w:color="000000" w:sz="4" w:val="nil"/>
              <w:tr2bl w:color="000000" w:sz="4" w:val="nil"/>
            </w:tcBorders>
          </w:tcPr>
          <w:p w14:paraId="16000000">
            <w:pPr>
              <w:spacing w:before="120"/>
              <w:ind/>
              <w:rPr>
                <w:color w:val="000000"/>
              </w:rPr>
            </w:pPr>
          </w:p>
        </w:tc>
        <w:tc>
          <w:tcPr>
            <w:tcW w:type="dxa" w:w="4345"/>
            <w:vMerge w:val="restart"/>
            <w:tcBorders>
              <w:top w:color="000000" w:sz="4" w:val="nil"/>
              <w:left w:color="000000" w:sz="4" w:val="nil"/>
              <w:bottom w:color="000000" w:sz="4" w:val="nil"/>
              <w:right w:color="000000" w:sz="4" w:val="nil"/>
              <w:tl2br w:color="000000" w:sz="4" w:val="nil"/>
              <w:tr2bl w:color="000000" w:sz="4" w:val="nil"/>
            </w:tcBorders>
          </w:tcPr>
          <w:p w14:paraId="17000000">
            <w:pPr>
              <w:spacing w:before="120"/>
              <w:ind/>
              <w:rPr>
                <w:color w:val="000000"/>
              </w:rPr>
            </w:pPr>
          </w:p>
        </w:tc>
      </w:tr>
      <w:tr>
        <w:tc>
          <w:tcPr>
            <w:tcW w:type="dxa" w:w="794"/>
            <w:gridSpan w:val="2"/>
            <w:tcBorders>
              <w:top w:color="000000" w:sz="6" w:val="single"/>
            </w:tcBorders>
            <w:vAlign w:val="bottom"/>
          </w:tcPr>
          <w:p w14:paraId="18000000">
            <w:pPr>
              <w:spacing w:before="120"/>
              <w:ind/>
              <w:rPr>
                <w:color w:val="000000"/>
                <w:sz w:val="24"/>
              </w:rPr>
            </w:pPr>
            <w:r>
              <w:rPr>
                <w:color w:val="000000"/>
                <w:sz w:val="24"/>
              </w:rPr>
              <w:t>На</w:t>
            </w:r>
            <w:r>
              <w:rPr>
                <w:color w:val="000000"/>
                <w:sz w:val="24"/>
              </w:rPr>
              <w:t xml:space="preserve"> №</w:t>
            </w:r>
          </w:p>
        </w:tc>
        <w:tc>
          <w:tcPr>
            <w:tcW w:type="dxa" w:w="4073"/>
            <w:gridSpan w:val="5"/>
            <w:tcBorders>
              <w:top w:color="000000" w:sz="4" w:val="nil"/>
              <w:bottom w:color="000000" w:sz="4" w:val="single"/>
            </w:tcBorders>
            <w:vAlign w:val="bottom"/>
          </w:tcPr>
          <w:p w14:paraId="19000000"/>
        </w:tc>
        <w:tc>
          <w:tcPr>
            <w:tcW w:type="dxa" w:w="400"/>
            <w:gridSpan w:val="2"/>
          </w:tcPr>
          <w:p w14:paraId="1A000000">
            <w:pPr>
              <w:spacing w:before="120"/>
              <w:ind/>
              <w:rPr>
                <w:color w:val="000000"/>
              </w:rPr>
            </w:pPr>
          </w:p>
        </w:tc>
        <w:tc>
          <w:tcPr>
            <w:tcW w:type="dxa" w:w="4345"/>
            <w:gridSpan w:val="1"/>
            <w:vMerge w:val="continue"/>
            <w:tcBorders>
              <w:top w:color="000000" w:sz="4" w:val="nil"/>
              <w:left w:color="000000" w:sz="4" w:val="nil"/>
              <w:bottom w:color="000000" w:sz="4" w:val="nil"/>
              <w:right w:color="000000" w:sz="4" w:val="nil"/>
              <w:tl2br w:color="000000" w:sz="4" w:val="nil"/>
              <w:tr2bl w:color="000000" w:sz="4" w:val="nil"/>
            </w:tcBorders>
          </w:tcPr>
          <w:p/>
        </w:tc>
      </w:tr>
      <w:tr>
        <w:tc>
          <w:tcPr>
            <w:tcW w:type="dxa" w:w="247"/>
          </w:tcPr>
          <w:p w14:paraId="1B000000">
            <w:pPr>
              <w:rPr>
                <w:color w:val="000000"/>
                <w:sz w:val="16"/>
              </w:rPr>
            </w:pPr>
          </w:p>
        </w:tc>
        <w:tc>
          <w:tcPr>
            <w:tcW w:type="dxa" w:w="4420"/>
            <w:gridSpan w:val="5"/>
          </w:tcPr>
          <w:p w14:paraId="1C000000">
            <w:pPr>
              <w:rPr>
                <w:color w:val="000000"/>
                <w:sz w:val="16"/>
              </w:rPr>
            </w:pPr>
          </w:p>
        </w:tc>
        <w:tc>
          <w:tcPr>
            <w:tcW w:type="dxa" w:w="400"/>
            <w:gridSpan w:val="2"/>
          </w:tcPr>
          <w:p w14:paraId="1D000000">
            <w:pPr>
              <w:rPr>
                <w:color w:val="000000"/>
                <w:sz w:val="16"/>
              </w:rPr>
            </w:pPr>
          </w:p>
        </w:tc>
        <w:tc>
          <w:tcPr>
            <w:tcW w:type="dxa" w:w="200"/>
          </w:tcPr>
          <w:p w14:paraId="1E000000">
            <w:pPr>
              <w:rPr>
                <w:color w:val="000000"/>
                <w:sz w:val="16"/>
              </w:rPr>
            </w:pPr>
          </w:p>
        </w:tc>
        <w:tc>
          <w:tcPr>
            <w:tcW w:type="dxa" w:w="4345"/>
            <w:gridSpan w:val="1"/>
            <w:vMerge w:val="continue"/>
            <w:tcBorders>
              <w:top w:color="000000" w:sz="4" w:val="nil"/>
              <w:left w:color="000000" w:sz="4" w:val="nil"/>
              <w:bottom w:color="000000" w:sz="4" w:val="nil"/>
              <w:right w:color="000000" w:sz="4" w:val="nil"/>
              <w:tl2br w:color="000000" w:sz="4" w:val="nil"/>
              <w:tr2bl w:color="000000" w:sz="4" w:val="nil"/>
            </w:tcBorders>
          </w:tcPr>
          <w:p/>
        </w:tc>
      </w:tr>
      <w:tr>
        <w:trPr>
          <w:trHeight w:hRule="atLeast" w:val="278"/>
        </w:trPr>
        <w:tc>
          <w:tcPr>
            <w:tcW w:type="dxa" w:w="247"/>
            <w:vMerge w:val="restart"/>
          </w:tcPr>
          <w:p w14:paraId="1F000000">
            <w:pPr>
              <w:rPr>
                <w:color w:val="000000"/>
              </w:rPr>
            </w:pPr>
            <w:r>
              <w:rPr>
                <w:color w:val="000000"/>
              </w:rPr>
              <w:t>[</w:t>
            </w:r>
          </w:p>
        </w:tc>
        <w:tc>
          <w:tcPr>
            <w:tcW w:type="dxa" w:w="4420"/>
            <w:gridSpan w:val="5"/>
            <w:vMerge w:val="restart"/>
            <w:vAlign w:val="center"/>
          </w:tcPr>
          <w:p w14:paraId="20000000">
            <w:pPr>
              <w:spacing w:after="90" w:before="105"/>
              <w:ind w:firstLine="0" w:left="120" w:right="60"/>
              <w:jc w:val="center"/>
              <w:rPr>
                <w:rFonts w:ascii="Times New Roman" w:hAnsi="Times New Roman"/>
                <w:b w:val="0"/>
                <w:i w:val="0"/>
                <w:caps w:val="0"/>
                <w:strike w:val="0"/>
                <w:color w:val="000000"/>
                <w:spacing w:val="0"/>
                <w:sz w:val="24"/>
              </w:rPr>
            </w:pPr>
            <w:r>
              <w:rPr>
                <w:rFonts w:ascii="Times New Roman" w:hAnsi="Times New Roman"/>
                <w:b w:val="0"/>
                <w:i w:val="0"/>
                <w:caps w:val="0"/>
                <w:strike w:val="0"/>
                <w:color w:val="000000"/>
                <w:spacing w:val="0"/>
                <w:sz w:val="24"/>
              </w:rPr>
              <w:t>О проведении 17-20 июня 2025 г.              IX Всероссийской научно-практической конференции инженеров строительной отрасли</w:t>
            </w:r>
          </w:p>
        </w:tc>
        <w:tc>
          <w:tcPr>
            <w:tcW w:type="dxa" w:w="400"/>
            <w:gridSpan w:val="2"/>
            <w:vMerge w:val="restart"/>
          </w:tcPr>
          <w:p w14:paraId="21000000">
            <w:pPr>
              <w:rPr>
                <w:color w:val="000000"/>
              </w:rPr>
            </w:pPr>
            <w:r>
              <w:rPr>
                <w:color w:val="000000"/>
              </w:rPr>
              <w:t>]</w:t>
            </w:r>
          </w:p>
        </w:tc>
        <w:tc>
          <w:tcPr>
            <w:tcW w:type="dxa" w:w="200"/>
          </w:tcPr>
          <w:p w14:paraId="22000000">
            <w:pPr>
              <w:rPr>
                <w:color w:val="000000"/>
              </w:rPr>
            </w:pPr>
          </w:p>
        </w:tc>
        <w:tc>
          <w:tcPr>
            <w:tcW w:type="dxa" w:w="4345"/>
          </w:tcPr>
          <w:p w14:paraId="23000000">
            <w:pPr>
              <w:rPr>
                <w:color w:val="000000"/>
              </w:rPr>
            </w:pPr>
          </w:p>
        </w:tc>
      </w:tr>
      <w:tr>
        <w:trPr>
          <w:trHeight w:hRule="atLeast" w:val="80"/>
        </w:trPr>
        <w:tc>
          <w:tcPr>
            <w:tcW w:type="dxa" w:w="247"/>
            <w:gridSpan w:val="1"/>
            <w:vMerge w:val="continue"/>
          </w:tcPr>
          <w:p/>
        </w:tc>
        <w:tc>
          <w:tcPr>
            <w:tcW w:type="dxa" w:w="4420"/>
            <w:gridSpan w:val="5"/>
            <w:vMerge w:val="continue"/>
            <w:vAlign w:val="center"/>
          </w:tcPr>
          <w:p/>
        </w:tc>
        <w:tc>
          <w:tcPr>
            <w:tcW w:type="dxa" w:w="400"/>
            <w:gridSpan w:val="2"/>
            <w:vMerge w:val="continue"/>
          </w:tcPr>
          <w:p/>
        </w:tc>
        <w:tc>
          <w:tcPr>
            <w:tcW w:type="dxa" w:w="200"/>
          </w:tcPr>
          <w:p w14:paraId="24000000">
            <w:pPr>
              <w:rPr>
                <w:color w:val="000000"/>
                <w:sz w:val="4"/>
              </w:rPr>
            </w:pPr>
          </w:p>
        </w:tc>
        <w:tc>
          <w:tcPr>
            <w:tcW w:type="dxa" w:w="4345"/>
          </w:tcPr>
          <w:p w14:paraId="25000000">
            <w:pPr>
              <w:rPr>
                <w:color w:val="000000"/>
                <w:sz w:val="4"/>
              </w:rPr>
            </w:pPr>
          </w:p>
        </w:tc>
      </w:tr>
    </w:tbl>
    <w:p w14:paraId="26000000">
      <w:pPr>
        <w:ind w:firstLine="720" w:left="0"/>
        <w:jc w:val="center"/>
        <w:rPr>
          <w:color w:val="000000"/>
          <w:sz w:val="28"/>
        </w:rPr>
      </w:pPr>
    </w:p>
    <w:p w14:paraId="27000000">
      <w:pPr>
        <w:ind w:firstLine="720" w:left="0"/>
        <w:jc w:val="center"/>
        <w:rPr>
          <w:color w:val="000000"/>
          <w:sz w:val="28"/>
        </w:rPr>
      </w:pPr>
    </w:p>
    <w:p w14:paraId="28000000">
      <w:pPr>
        <w:ind w:firstLine="720" w:left="0"/>
        <w:jc w:val="center"/>
        <w:rPr>
          <w:rFonts w:ascii="Times New Roman" w:hAnsi="Times New Roman"/>
          <w:b w:val="0"/>
          <w:color w:val="000000"/>
          <w:sz w:val="28"/>
        </w:rPr>
      </w:pPr>
      <w:r>
        <w:rPr>
          <w:rFonts w:ascii="Times New Roman" w:hAnsi="Times New Roman"/>
          <w:b w:val="0"/>
          <w:color w:val="000000"/>
          <w:sz w:val="28"/>
        </w:rPr>
        <w:t>Уважаемый</w:t>
      </w:r>
      <w:r>
        <w:rPr>
          <w:rFonts w:ascii="Times New Roman" w:hAnsi="Times New Roman"/>
          <w:b w:val="0"/>
          <w:i w:val="0"/>
          <w:caps w:val="0"/>
          <w:color w:val="000000"/>
          <w:spacing w:val="0"/>
          <w:sz w:val="28"/>
          <w:highlight w:val="white"/>
        </w:rPr>
        <w:t xml:space="preserve"> Юзеф Морткович!</w:t>
      </w:r>
    </w:p>
    <w:p w14:paraId="29000000">
      <w:pPr>
        <w:ind w:firstLine="720" w:left="0"/>
        <w:jc w:val="both"/>
        <w:rPr>
          <w:color w:val="000000"/>
          <w:sz w:val="28"/>
        </w:rPr>
      </w:pPr>
    </w:p>
    <w:p w14:paraId="2A000000">
      <w:pPr>
        <w:ind w:firstLine="720" w:left="0"/>
        <w:jc w:val="both"/>
        <w:rPr>
          <w:rFonts w:ascii="Times New Roman" w:hAnsi="Times New Roman"/>
          <w:color w:val="000000"/>
          <w:sz w:val="28"/>
        </w:rPr>
      </w:pPr>
      <w:r>
        <w:rPr>
          <w:sz w:val="28"/>
        </w:rPr>
        <w:t xml:space="preserve">Сообщаем, что в соответствии со сформированными Правительством </w:t>
      </w:r>
      <w:r>
        <w:rPr>
          <w:sz w:val="28"/>
        </w:rPr>
        <w:t xml:space="preserve">Российской Федерации </w:t>
      </w:r>
      <w:r>
        <w:rPr>
          <w:sz w:val="28"/>
        </w:rPr>
        <w:t>мерами поддержки строительной отрасли и согласно Распоряжению Правительства Российской Федерации от 16 августа 2018 года № 1697-р разработке «Стратегии развития строительной отрасли и жилищно-коммунального хозяйства Р</w:t>
      </w:r>
      <w:r>
        <w:rPr>
          <w:sz w:val="28"/>
        </w:rPr>
        <w:t>оссийской Федерации</w:t>
      </w:r>
      <w:r>
        <w:rPr>
          <w:sz w:val="28"/>
        </w:rPr>
        <w:t xml:space="preserve"> до 2030 г.», проектные команды «Совершенствование ценообразования в строительстве», «Инновационное развитие строительной экспертизы», организованные</w:t>
      </w:r>
      <w:r>
        <w:br/>
      </w:r>
      <w:r>
        <w:rPr>
          <w:sz w:val="28"/>
        </w:rPr>
        <w:t>ФАУ «Главгосэкспертиза России», Межведомственная рабочая группа</w:t>
      </w:r>
      <w:r>
        <w:br/>
      </w:r>
      <w:r>
        <w:rPr>
          <w:sz w:val="28"/>
        </w:rPr>
        <w:t>по разработке «Стратегии развития строительной отрасли РФ до 2030 г.» Министерства строительства и ЖКХ России прорабатывают факторы</w:t>
      </w:r>
      <w:r>
        <w:br/>
      </w:r>
      <w:r>
        <w:rPr>
          <w:sz w:val="28"/>
        </w:rPr>
        <w:t>по ускорению развития строительной отрасли – как меры по укреплению внутренней безопасности России.</w:t>
      </w:r>
    </w:p>
    <w:p w14:paraId="2B000000">
      <w:pPr>
        <w:ind w:firstLine="720" w:left="0"/>
        <w:jc w:val="both"/>
        <w:rPr>
          <w:rFonts w:ascii="Times New Roman" w:hAnsi="Times New Roman"/>
          <w:color w:val="000000"/>
          <w:sz w:val="28"/>
        </w:rPr>
      </w:pPr>
      <w:r>
        <w:rPr>
          <w:sz w:val="28"/>
        </w:rPr>
        <w:t>17-20 июня 2025 года проводится IX Всероссийская научно-практическая конференция инженеров строительной отрасли по теме: «Основные аспекты строительного ценообразования в градостроительной деятельности. Договорные отношения заказчиков и подрядчиков при реализации инвестиционных проектов» (далее – Конференция) (</w:t>
      </w:r>
      <w:r>
        <w:rPr>
          <w:sz w:val="28"/>
        </w:rPr>
        <w:t>вопросам, касающимся контрактных отношений, строительного ценообразования, транспортного строительства).</w:t>
      </w:r>
    </w:p>
    <w:p w14:paraId="2C000000">
      <w:pPr>
        <w:ind w:firstLine="720" w:left="0"/>
        <w:jc w:val="both"/>
        <w:rPr>
          <w:rFonts w:ascii="Times New Roman" w:hAnsi="Times New Roman"/>
          <w:color w:val="000000"/>
          <w:sz w:val="28"/>
        </w:rPr>
      </w:pPr>
      <w:r>
        <w:rPr>
          <w:sz w:val="28"/>
        </w:rPr>
        <w:t>Тема 1 секции: «Определение стоимости строительства на всех этапах инвестиционного проекта с учетом практики реализации реформы ценообразования в сфере градостроительства».</w:t>
      </w:r>
    </w:p>
    <w:p w14:paraId="2D000000">
      <w:pPr>
        <w:ind w:firstLine="720" w:left="0"/>
        <w:jc w:val="both"/>
        <w:rPr>
          <w:rFonts w:ascii="Times New Roman" w:hAnsi="Times New Roman"/>
          <w:color w:val="000000"/>
          <w:sz w:val="28"/>
        </w:rPr>
      </w:pPr>
      <w:r>
        <w:rPr>
          <w:sz w:val="28"/>
        </w:rPr>
        <w:t>Тема 2 секции (для заказчиков и подрядчиков в строительстве):</w:t>
      </w:r>
      <w:r>
        <w:rPr>
          <w:sz w:val="28"/>
        </w:rPr>
        <w:t xml:space="preserve"> «Стратегия управления проектами и взаимодействия с заказчиками</w:t>
      </w:r>
      <w:r>
        <w:br/>
      </w:r>
      <w:r>
        <w:rPr>
          <w:sz w:val="28"/>
        </w:rPr>
        <w:t>и подрядчиками. Конкурентный способ определения подрядчика</w:t>
      </w:r>
      <w:r>
        <w:br/>
      </w:r>
      <w:r>
        <w:rPr>
          <w:sz w:val="28"/>
        </w:rPr>
        <w:t>в строительстве».</w:t>
      </w:r>
    </w:p>
    <w:p w14:paraId="2E000000">
      <w:pPr>
        <w:ind w:firstLine="720" w:left="0"/>
        <w:jc w:val="both"/>
        <w:rPr>
          <w:rFonts w:ascii="Times New Roman" w:hAnsi="Times New Roman"/>
          <w:color w:val="000000"/>
          <w:sz w:val="28"/>
        </w:rPr>
      </w:pPr>
    </w:p>
    <w:p w14:paraId="2F000000">
      <w:pPr>
        <w:ind w:firstLine="720" w:left="0"/>
        <w:jc w:val="both"/>
        <w:rPr>
          <w:rFonts w:ascii="Times New Roman" w:hAnsi="Times New Roman"/>
          <w:color w:val="000000"/>
          <w:sz w:val="28"/>
        </w:rPr>
      </w:pPr>
    </w:p>
    <w:p w14:paraId="30000000">
      <w:pPr>
        <w:ind w:firstLine="720" w:left="0"/>
        <w:jc w:val="both"/>
        <w:rPr>
          <w:rFonts w:ascii="Times New Roman" w:hAnsi="Times New Roman"/>
          <w:color w:val="000000"/>
          <w:sz w:val="28"/>
        </w:rPr>
      </w:pPr>
      <w:r>
        <w:rPr>
          <w:sz w:val="28"/>
        </w:rPr>
        <w:t xml:space="preserve">Тема </w:t>
      </w:r>
      <w:r>
        <w:rPr>
          <w:sz w:val="28"/>
        </w:rPr>
        <w:t>3 секции (для работников транспортного строительства</w:t>
      </w:r>
      <w:r>
        <w:rPr>
          <w:rFonts w:ascii="Times New Roman" w:hAnsi="Times New Roman"/>
          <w:color w:val="000000"/>
          <w:sz w:val="28"/>
        </w:rPr>
        <w:t>)</w:t>
      </w:r>
      <w:r>
        <w:rPr>
          <w:sz w:val="28"/>
        </w:rPr>
        <w:t>: «Совершенствование сметного и научно-технологического сопровождения форм проверок соответствия органами государственного контроля</w:t>
      </w:r>
      <w:r>
        <w:br/>
      </w:r>
      <w:r>
        <w:rPr>
          <w:sz w:val="28"/>
        </w:rPr>
        <w:t>в транспортном строительстве».</w:t>
      </w:r>
    </w:p>
    <w:p w14:paraId="31000000">
      <w:pPr>
        <w:ind w:firstLine="720" w:left="0"/>
        <w:jc w:val="both"/>
        <w:rPr>
          <w:rFonts w:ascii="Times New Roman" w:hAnsi="Times New Roman"/>
          <w:color w:val="000000"/>
          <w:sz w:val="28"/>
        </w:rPr>
      </w:pPr>
      <w:r>
        <w:rPr>
          <w:sz w:val="28"/>
        </w:rPr>
        <w:t>Конференция пройдет при участии представителей Минстроя России, НОСТРОЯ, ФАУ «Главгосэкспертиза России», НОПРИЗА, ФАУ «РОСДОРНИИ», НИУ МГСУ, МАДИ, Российской академии транспорта, Российского общества инженеров строительства, Инновационного центра «Сколково», СРО Ассоциация «Национальное объединение специалистов стоимостного инжиниринга», Центра повышения квалификации «Стройинформиздат».</w:t>
      </w:r>
    </w:p>
    <w:p w14:paraId="32000000">
      <w:pPr>
        <w:ind w:firstLine="720" w:left="0"/>
        <w:jc w:val="both"/>
        <w:rPr>
          <w:rFonts w:ascii="Times New Roman" w:hAnsi="Times New Roman"/>
          <w:color w:val="000000"/>
          <w:sz w:val="28"/>
        </w:rPr>
      </w:pPr>
      <w:r>
        <w:rPr>
          <w:sz w:val="28"/>
        </w:rPr>
        <w:t>Целью конференции является научная дискуссия и экспертное обсуждение условий, которые приведут к достижению целей и задач развития строительной отрасли, повышению уровня компетенции соответствующих специалистов.</w:t>
      </w:r>
    </w:p>
    <w:p w14:paraId="33000000">
      <w:pPr>
        <w:ind w:firstLine="720" w:left="0"/>
        <w:jc w:val="both"/>
        <w:rPr>
          <w:rFonts w:ascii="Times New Roman" w:hAnsi="Times New Roman"/>
          <w:color w:val="000000"/>
          <w:sz w:val="28"/>
        </w:rPr>
      </w:pPr>
      <w:r>
        <w:rPr>
          <w:rFonts w:ascii="Times New Roman" w:hAnsi="Times New Roman"/>
          <w:color w:val="000000"/>
          <w:sz w:val="28"/>
        </w:rPr>
        <w:t>Приглашаем организации-члены РОР «Союз строителей Омской области» принять участие в Конференции.</w:t>
      </w:r>
    </w:p>
    <w:p w14:paraId="34000000">
      <w:pPr>
        <w:ind w:firstLine="720" w:left="0"/>
        <w:jc w:val="both"/>
        <w:rPr>
          <w:rFonts w:ascii="Times New Roman" w:hAnsi="Times New Roman"/>
          <w:color w:val="000000"/>
          <w:sz w:val="28"/>
        </w:rPr>
      </w:pPr>
      <w:r>
        <w:rPr>
          <w:sz w:val="28"/>
        </w:rPr>
        <w:t>Итоговая резолюция конференции будет представлена в Аналитический центр при Правительстве РФ, заместителям Министра строительства и ЖКХ РФ, Министра транспорта РФ, курирующим вопросы ценообразования.</w:t>
      </w:r>
    </w:p>
    <w:p w14:paraId="35000000">
      <w:pPr>
        <w:ind w:firstLine="720" w:left="0"/>
        <w:jc w:val="both"/>
        <w:rPr>
          <w:rFonts w:ascii="Times New Roman" w:hAnsi="Times New Roman"/>
          <w:color w:val="000000"/>
          <w:sz w:val="28"/>
        </w:rPr>
      </w:pPr>
      <w:r>
        <w:rPr>
          <w:sz w:val="28"/>
        </w:rPr>
        <w:t>Конференция пройдет по адресу: Россия, Краснодарский край, г. Сочи, Черноморская улица, д. 4, к. 4.</w:t>
      </w:r>
    </w:p>
    <w:p w14:paraId="36000000">
      <w:pPr>
        <w:ind w:firstLine="720" w:left="0"/>
        <w:jc w:val="both"/>
        <w:rPr>
          <w:rFonts w:ascii="Times New Roman" w:hAnsi="Times New Roman"/>
          <w:color w:val="000000"/>
          <w:sz w:val="28"/>
        </w:rPr>
      </w:pPr>
    </w:p>
    <w:p w14:paraId="37000000">
      <w:pPr>
        <w:tabs>
          <w:tab w:leader="none" w:pos="7740" w:val="left"/>
          <w:tab w:leader="none" w:pos="7920" w:val="left"/>
        </w:tabs>
        <w:ind/>
        <w:rPr>
          <w:color w:val="000000"/>
          <w:sz w:val="28"/>
        </w:rPr>
      </w:pPr>
      <w:r>
        <w:rPr>
          <w:sz w:val="28"/>
        </w:rPr>
        <w:t>Приложение: на 9 л. в 1 экз.</w:t>
      </w:r>
    </w:p>
    <w:p w14:paraId="38000000">
      <w:pPr>
        <w:tabs>
          <w:tab w:leader="none" w:pos="7740" w:val="left"/>
          <w:tab w:leader="none" w:pos="7920" w:val="left"/>
        </w:tabs>
        <w:ind/>
        <w:rPr>
          <w:color w:val="000000"/>
          <w:sz w:val="28"/>
        </w:rPr>
      </w:pPr>
    </w:p>
    <w:p w14:paraId="39000000">
      <w:pPr>
        <w:tabs>
          <w:tab w:leader="none" w:pos="7740" w:val="left"/>
          <w:tab w:leader="none" w:pos="7920" w:val="left"/>
        </w:tabs>
        <w:ind/>
        <w:rPr>
          <w:color w:val="000000"/>
          <w:sz w:val="28"/>
        </w:rPr>
      </w:pPr>
    </w:p>
    <w:tbl>
      <w:tblPr>
        <w:tblStyle w:val="Style_2"/>
        <w:tblLayout w:type="fixed"/>
      </w:tblPr>
      <w:tblGrid>
        <w:gridCol w:w="3823"/>
        <w:gridCol w:w="3071"/>
        <w:gridCol w:w="2744"/>
      </w:tblGrid>
      <w:tr>
        <w:tc>
          <w:tcPr>
            <w:tcW w:type="dxa" w:w="3823"/>
            <w:shd w:fill="auto" w:val="clear"/>
            <w:tcMar>
              <w:top w:type="dxa" w:w="0"/>
              <w:left w:type="dxa" w:w="108"/>
              <w:bottom w:type="dxa" w:w="0"/>
              <w:right w:type="dxa" w:w="108"/>
            </w:tcMar>
          </w:tcPr>
          <w:p w14:paraId="3A000000">
            <w:pPr>
              <w:rPr>
                <w:color w:val="000000"/>
                <w:sz w:val="28"/>
              </w:rPr>
            </w:pPr>
            <w:r>
              <w:rPr>
                <w:color w:val="000000"/>
                <w:sz w:val="28"/>
              </w:rPr>
              <w:t>Заместитель Министра</w:t>
            </w:r>
          </w:p>
        </w:tc>
        <w:tc>
          <w:tcPr>
            <w:tcW w:type="dxa" w:w="3071"/>
            <w:shd w:fill="FFFFFF" w:val="clear"/>
            <w:tcMar>
              <w:top w:type="dxa" w:w="0"/>
              <w:left w:type="dxa" w:w="108"/>
              <w:bottom w:type="dxa" w:w="0"/>
              <w:right w:type="dxa" w:w="108"/>
            </w:tcMar>
          </w:tcPr>
          <w:p w14:paraId="3B000000">
            <w:pPr>
              <w:ind/>
              <w:jc w:val="both"/>
              <w:rPr>
                <w:color w:val="FFFFFF"/>
                <w:sz w:val="28"/>
              </w:rPr>
            </w:pPr>
            <w:r>
              <w:rPr>
                <w:color w:val="FFFFFF"/>
                <w:sz w:val="28"/>
              </w:rPr>
              <w:t>⚓^</w:t>
            </w:r>
          </w:p>
        </w:tc>
        <w:tc>
          <w:tcPr>
            <w:tcW w:type="dxa" w:w="2744"/>
            <w:shd w:fill="auto" w:val="clear"/>
            <w:tcMar>
              <w:top w:type="dxa" w:w="0"/>
              <w:left w:type="dxa" w:w="108"/>
              <w:bottom w:type="dxa" w:w="0"/>
              <w:right w:type="dxa" w:w="108"/>
            </w:tcMar>
          </w:tcPr>
          <w:p w14:paraId="3C000000">
            <w:pPr>
              <w:ind/>
              <w:jc w:val="right"/>
              <w:rPr>
                <w:color w:val="000000"/>
                <w:sz w:val="28"/>
              </w:rPr>
            </w:pPr>
            <w:r>
              <w:rPr>
                <w:color w:val="000000"/>
                <w:sz w:val="28"/>
              </w:rPr>
              <w:t>Е.В. Кравченко</w:t>
            </w:r>
          </w:p>
        </w:tc>
      </w:tr>
    </w:tbl>
    <w:p w14:paraId="3D000000">
      <w:pPr>
        <w:ind/>
        <w:jc w:val="center"/>
        <w:rPr>
          <w:color w:val="000000"/>
          <w:sz w:val="28"/>
        </w:rPr>
      </w:pPr>
    </w:p>
    <w:p w14:paraId="3E000000">
      <w:pPr>
        <w:ind/>
        <w:jc w:val="center"/>
        <w:rPr>
          <w:color w:val="000000"/>
          <w:sz w:val="28"/>
        </w:rPr>
      </w:pPr>
    </w:p>
    <w:p w14:paraId="3F000000">
      <w:pPr>
        <w:ind/>
        <w:jc w:val="center"/>
        <w:rPr>
          <w:color w:val="000000"/>
          <w:sz w:val="28"/>
        </w:rPr>
      </w:pPr>
    </w:p>
    <w:p w14:paraId="40000000">
      <w:pPr>
        <w:ind/>
        <w:jc w:val="center"/>
        <w:rPr>
          <w:color w:val="000000"/>
          <w:sz w:val="28"/>
        </w:rPr>
      </w:pPr>
    </w:p>
    <w:p w14:paraId="41000000">
      <w:pPr>
        <w:ind/>
        <w:jc w:val="center"/>
        <w:rPr>
          <w:color w:val="000000"/>
          <w:sz w:val="28"/>
        </w:rPr>
      </w:pPr>
    </w:p>
    <w:p w14:paraId="42000000">
      <w:pPr>
        <w:ind/>
        <w:jc w:val="center"/>
        <w:rPr>
          <w:color w:val="000000"/>
          <w:sz w:val="28"/>
        </w:rPr>
      </w:pPr>
    </w:p>
    <w:p w14:paraId="43000000">
      <w:pPr>
        <w:ind/>
        <w:jc w:val="center"/>
        <w:rPr>
          <w:color w:val="000000"/>
          <w:sz w:val="28"/>
        </w:rPr>
      </w:pPr>
    </w:p>
    <w:p w14:paraId="44000000">
      <w:pPr>
        <w:ind/>
        <w:jc w:val="center"/>
        <w:rPr>
          <w:color w:val="000000"/>
          <w:sz w:val="28"/>
        </w:rPr>
      </w:pPr>
    </w:p>
    <w:p w14:paraId="45000000">
      <w:pPr>
        <w:ind/>
        <w:jc w:val="center"/>
        <w:rPr>
          <w:color w:val="000000"/>
          <w:sz w:val="28"/>
        </w:rPr>
      </w:pPr>
    </w:p>
    <w:p w14:paraId="46000000">
      <w:pPr>
        <w:ind/>
        <w:jc w:val="center"/>
        <w:rPr>
          <w:color w:val="000000"/>
          <w:sz w:val="28"/>
        </w:rPr>
      </w:pPr>
    </w:p>
    <w:p w14:paraId="47000000">
      <w:pPr>
        <w:ind/>
        <w:jc w:val="center"/>
        <w:rPr>
          <w:color w:val="000000"/>
          <w:sz w:val="28"/>
        </w:rPr>
      </w:pPr>
    </w:p>
    <w:p w14:paraId="48000000">
      <w:pPr>
        <w:ind/>
        <w:jc w:val="center"/>
        <w:rPr>
          <w:color w:val="000000"/>
          <w:sz w:val="28"/>
        </w:rPr>
      </w:pPr>
    </w:p>
    <w:p w14:paraId="49000000">
      <w:pPr>
        <w:ind/>
        <w:jc w:val="center"/>
        <w:rPr>
          <w:color w:val="000000"/>
          <w:sz w:val="28"/>
        </w:rPr>
      </w:pPr>
    </w:p>
    <w:p w14:paraId="4A000000">
      <w:pPr>
        <w:ind/>
        <w:jc w:val="center"/>
        <w:rPr>
          <w:color w:val="000000"/>
          <w:sz w:val="28"/>
        </w:rPr>
      </w:pPr>
    </w:p>
    <w:p w14:paraId="4B000000">
      <w:pPr>
        <w:ind/>
        <w:jc w:val="left"/>
        <w:rPr>
          <w:color w:val="000000"/>
          <w:sz w:val="24"/>
        </w:rPr>
      </w:pPr>
      <w:r>
        <w:rPr>
          <w:color w:val="000000"/>
          <w:sz w:val="24"/>
        </w:rPr>
        <w:t>Авхимович Анна Валерьевна</w:t>
      </w:r>
    </w:p>
    <w:p w14:paraId="4C000000">
      <w:pPr>
        <w:ind/>
        <w:jc w:val="left"/>
        <w:rPr>
          <w:color w:val="000000"/>
          <w:sz w:val="24"/>
        </w:rPr>
      </w:pPr>
      <w:r>
        <w:rPr>
          <w:color w:val="000000"/>
          <w:sz w:val="24"/>
        </w:rPr>
        <w:t>357858</w:t>
      </w:r>
    </w:p>
    <w:p w14:paraId="4D000000">
      <w:pPr>
        <w:ind/>
        <w:jc w:val="center"/>
        <w:rPr>
          <w:color w:val="000000"/>
          <w:sz w:val="28"/>
        </w:rPr>
      </w:pPr>
    </w:p>
    <w:sectPr>
      <w:headerReference r:id="rId1" w:type="default"/>
      <w:pgSz w:h="16838" w:orient="portrait" w:w="11906"/>
      <w:pgMar w:bottom="255" w:footer="709" w:gutter="0" w:header="709" w:left="1418" w:right="851" w:top="28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rFonts w:ascii="Times New Roman" w:hAnsi="Times New Roman"/>
      <w:sz w:val="24"/>
    </w:rPr>
  </w:style>
  <w:style w:default="1" w:styleId="Style_5_ch" w:type="character">
    <w:name w:val="Normal"/>
    <w:link w:val="Style_5"/>
    <w:rPr>
      <w:rFonts w:ascii="Times New Roman" w:hAnsi="Times New Roman"/>
      <w:sz w:val="24"/>
    </w:rPr>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ConsPlusNonformat"/>
    <w:link w:val="Style_7_ch"/>
    <w:pPr>
      <w:widowControl w:val="0"/>
      <w:ind/>
    </w:pPr>
    <w:rPr>
      <w:rFonts w:ascii="Courier New" w:hAnsi="Courier New"/>
    </w:rPr>
  </w:style>
  <w:style w:styleId="Style_7_ch" w:type="character">
    <w:name w:val="ConsPlusNonformat"/>
    <w:link w:val="Style_7"/>
    <w:rPr>
      <w:rFonts w:ascii="Courier New" w:hAnsi="Courier New"/>
    </w:rPr>
  </w:style>
  <w:style w:styleId="Style_8" w:type="paragraph">
    <w:name w:val="toc 4"/>
    <w:next w:val="Style_5"/>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5"/>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5"/>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footer"/>
    <w:basedOn w:val="Style_5"/>
    <w:link w:val="Style_11_ch"/>
    <w:pPr>
      <w:tabs>
        <w:tab w:leader="none" w:pos="4677" w:val="center"/>
        <w:tab w:leader="none" w:pos="9355" w:val="right"/>
      </w:tabs>
      <w:ind/>
    </w:pPr>
  </w:style>
  <w:style w:styleId="Style_11_ch" w:type="character">
    <w:name w:val="footer"/>
    <w:basedOn w:val="Style_5_ch"/>
    <w:link w:val="Style_11"/>
  </w:style>
  <w:style w:styleId="Style_12" w:type="paragraph">
    <w:name w:val="Без интервала12"/>
    <w:link w:val="Style_12_ch"/>
    <w:rPr>
      <w:sz w:val="22"/>
    </w:rPr>
  </w:style>
  <w:style w:styleId="Style_12_ch" w:type="character">
    <w:name w:val="Без интервала12"/>
    <w:link w:val="Style_12"/>
    <w:rPr>
      <w:sz w:val="22"/>
    </w:rPr>
  </w:style>
  <w:style w:styleId="Style_13" w:type="paragraph">
    <w:name w:val="heading 3"/>
    <w:basedOn w:val="Style_5"/>
    <w:next w:val="Style_5"/>
    <w:link w:val="Style_13_ch"/>
    <w:uiPriority w:val="9"/>
    <w:qFormat/>
    <w:pPr>
      <w:keepNext w:val="1"/>
      <w:ind/>
      <w:jc w:val="center"/>
      <w:outlineLvl w:val="2"/>
    </w:pPr>
    <w:rPr>
      <w:b w:val="1"/>
      <w:sz w:val="20"/>
    </w:rPr>
  </w:style>
  <w:style w:styleId="Style_13_ch" w:type="character">
    <w:name w:val="heading 3"/>
    <w:basedOn w:val="Style_5_ch"/>
    <w:link w:val="Style_13"/>
    <w:rPr>
      <w:b w:val="1"/>
      <w:sz w:val="20"/>
    </w:rPr>
  </w:style>
  <w:style w:styleId="Style_1" w:type="paragraph">
    <w:name w:val="header"/>
    <w:basedOn w:val="Style_5"/>
    <w:link w:val="Style_1_ch"/>
    <w:pPr>
      <w:tabs>
        <w:tab w:leader="none" w:pos="4677" w:val="center"/>
        <w:tab w:leader="none" w:pos="9355" w:val="right"/>
      </w:tabs>
      <w:ind/>
    </w:pPr>
  </w:style>
  <w:style w:styleId="Style_1_ch" w:type="character">
    <w:name w:val="header"/>
    <w:basedOn w:val="Style_5_ch"/>
    <w:link w:val="Style_1"/>
  </w:style>
  <w:style w:styleId="Style_14" w:type="paragraph">
    <w:name w:val="ConsPlusTitle"/>
    <w:link w:val="Style_14_ch"/>
    <w:rPr>
      <w:rFonts w:ascii="Arial" w:hAnsi="Arial"/>
      <w:b w:val="1"/>
    </w:rPr>
  </w:style>
  <w:style w:styleId="Style_14_ch" w:type="character">
    <w:name w:val="ConsPlusTitle"/>
    <w:link w:val="Style_14"/>
    <w:rPr>
      <w:rFonts w:ascii="Arial" w:hAnsi="Arial"/>
      <w:b w:val="1"/>
    </w:rPr>
  </w:style>
  <w:style w:styleId="Style_15" w:type="paragraph">
    <w:name w:val="Основной текст 21"/>
    <w:basedOn w:val="Style_5"/>
    <w:link w:val="Style_15_ch"/>
    <w:pPr>
      <w:ind/>
      <w:jc w:val="center"/>
    </w:pPr>
    <w:rPr>
      <w:sz w:val="28"/>
    </w:rPr>
  </w:style>
  <w:style w:styleId="Style_15_ch" w:type="character">
    <w:name w:val="Основной текст 21"/>
    <w:basedOn w:val="Style_5_ch"/>
    <w:link w:val="Style_15"/>
    <w:rPr>
      <w:sz w:val="28"/>
    </w:rPr>
  </w:style>
  <w:style w:styleId="Style_16" w:type="paragraph">
    <w:name w:val="Strong"/>
    <w:link w:val="Style_16_ch"/>
    <w:rPr>
      <w:b w:val="1"/>
    </w:rPr>
  </w:style>
  <w:style w:styleId="Style_16_ch" w:type="character">
    <w:name w:val="Strong"/>
    <w:link w:val="Style_16"/>
    <w:rPr>
      <w:b w:val="1"/>
    </w:rPr>
  </w:style>
  <w:style w:styleId="Style_17" w:type="paragraph">
    <w:name w:val="ConsPlusNormal"/>
    <w:link w:val="Style_17_ch"/>
    <w:rPr>
      <w:rFonts w:ascii="Times New Roman" w:hAnsi="Times New Roman"/>
      <w:sz w:val="28"/>
    </w:rPr>
  </w:style>
  <w:style w:styleId="Style_17_ch" w:type="character">
    <w:name w:val="ConsPlusNormal"/>
    <w:link w:val="Style_17"/>
    <w:rPr>
      <w:rFonts w:ascii="Times New Roman" w:hAnsi="Times New Roman"/>
      <w:sz w:val="28"/>
    </w:rPr>
  </w:style>
  <w:style w:styleId="Style_18" w:type="paragraph">
    <w:name w:val="Default Paragraph Font"/>
    <w:link w:val="Style_18_ch"/>
  </w:style>
  <w:style w:styleId="Style_18_ch" w:type="character">
    <w:name w:val="Default Paragraph Font"/>
    <w:link w:val="Style_18"/>
  </w:style>
  <w:style w:styleId="Style_19" w:type="paragraph">
    <w:name w:val="Body Text"/>
    <w:basedOn w:val="Style_5"/>
    <w:link w:val="Style_19_ch"/>
    <w:pPr>
      <w:widowControl w:val="0"/>
      <w:spacing w:after="120"/>
      <w:ind/>
    </w:pPr>
  </w:style>
  <w:style w:styleId="Style_19_ch" w:type="character">
    <w:name w:val="Body Text"/>
    <w:basedOn w:val="Style_5_ch"/>
    <w:link w:val="Style_19"/>
  </w:style>
  <w:style w:styleId="Style_20" w:type="paragraph">
    <w:name w:val="toc 3"/>
    <w:next w:val="Style_5"/>
    <w:link w:val="Style_20_ch"/>
    <w:uiPriority w:val="39"/>
    <w:pPr>
      <w:ind w:firstLine="0" w:left="400"/>
      <w:jc w:val="left"/>
    </w:pPr>
    <w:rPr>
      <w:rFonts w:ascii="XO Thames" w:hAnsi="XO Thames"/>
      <w:sz w:val="28"/>
    </w:rPr>
  </w:style>
  <w:style w:styleId="Style_20_ch" w:type="character">
    <w:name w:val="toc 3"/>
    <w:link w:val="Style_20"/>
    <w:rPr>
      <w:rFonts w:ascii="XO Thames" w:hAnsi="XO Thames"/>
      <w:sz w:val="28"/>
    </w:rPr>
  </w:style>
  <w:style w:styleId="Style_21" w:type="paragraph">
    <w:name w:val="Balloon Text"/>
    <w:basedOn w:val="Style_5"/>
    <w:link w:val="Style_21_ch"/>
    <w:rPr>
      <w:rFonts w:ascii="Tahoma" w:hAnsi="Tahoma"/>
      <w:sz w:val="16"/>
    </w:rPr>
  </w:style>
  <w:style w:styleId="Style_21_ch" w:type="character">
    <w:name w:val="Balloon Text"/>
    <w:basedOn w:val="Style_5_ch"/>
    <w:link w:val="Style_21"/>
    <w:rPr>
      <w:rFonts w:ascii="Tahoma" w:hAnsi="Tahoma"/>
      <w:sz w:val="16"/>
    </w:rPr>
  </w:style>
  <w:style w:styleId="Style_22" w:type="paragraph">
    <w:name w:val="Содержимое таблицы"/>
    <w:basedOn w:val="Style_5"/>
    <w:link w:val="Style_22_ch"/>
    <w:pPr>
      <w:widowControl w:val="0"/>
      <w:ind/>
    </w:pPr>
    <w:rPr>
      <w:rFonts w:ascii="Arial" w:hAnsi="Arial"/>
      <w:sz w:val="20"/>
    </w:rPr>
  </w:style>
  <w:style w:styleId="Style_22_ch" w:type="character">
    <w:name w:val="Содержимое таблицы"/>
    <w:basedOn w:val="Style_5_ch"/>
    <w:link w:val="Style_22"/>
    <w:rPr>
      <w:rFonts w:ascii="Arial" w:hAnsi="Arial"/>
      <w:sz w:val="20"/>
    </w:rPr>
  </w:style>
  <w:style w:styleId="Style_23" w:type="paragraph">
    <w:name w:val="heading 5"/>
    <w:next w:val="Style_5"/>
    <w:link w:val="Style_23_ch"/>
    <w:uiPriority w:val="9"/>
    <w:qFormat/>
    <w:pPr>
      <w:spacing w:after="120" w:before="120"/>
      <w:ind/>
      <w:jc w:val="both"/>
      <w:outlineLvl w:val="4"/>
    </w:pPr>
    <w:rPr>
      <w:rFonts w:ascii="XO Thames" w:hAnsi="XO Thames"/>
      <w:b w:val="1"/>
      <w:sz w:val="22"/>
    </w:rPr>
  </w:style>
  <w:style w:styleId="Style_23_ch" w:type="character">
    <w:name w:val="heading 5"/>
    <w:link w:val="Style_23"/>
    <w:rPr>
      <w:rFonts w:ascii="XO Thames" w:hAnsi="XO Thames"/>
      <w:b w:val="1"/>
      <w:sz w:val="22"/>
    </w:rPr>
  </w:style>
  <w:style w:styleId="Style_24" w:type="paragraph">
    <w:name w:val="heading 1"/>
    <w:next w:val="Style_5"/>
    <w:link w:val="Style_24_ch"/>
    <w:uiPriority w:val="9"/>
    <w:qFormat/>
    <w:pPr>
      <w:spacing w:after="120" w:before="120"/>
      <w:ind/>
      <w:jc w:val="both"/>
      <w:outlineLvl w:val="0"/>
    </w:pPr>
    <w:rPr>
      <w:rFonts w:ascii="XO Thames" w:hAnsi="XO Thames"/>
      <w:b w:val="1"/>
      <w:sz w:val="32"/>
    </w:rPr>
  </w:style>
  <w:style w:styleId="Style_24_ch" w:type="character">
    <w:name w:val="heading 1"/>
    <w:link w:val="Style_24"/>
    <w:rPr>
      <w:rFonts w:ascii="XO Thames" w:hAnsi="XO Thames"/>
      <w:b w:val="1"/>
      <w:sz w:val="32"/>
    </w:rPr>
  </w:style>
  <w:style w:styleId="Style_4" w:type="paragraph">
    <w:name w:val="Hyperlink"/>
    <w:link w:val="Style_4_ch"/>
    <w:rPr>
      <w:color w:val="0000FF"/>
      <w:u w:val="single"/>
    </w:rPr>
  </w:style>
  <w:style w:styleId="Style_4_ch" w:type="character">
    <w:name w:val="Hyperlink"/>
    <w:link w:val="Style_4"/>
    <w:rPr>
      <w:color w:val="0000FF"/>
      <w:u w:val="single"/>
    </w:rPr>
  </w:style>
  <w:style w:styleId="Style_25" w:type="paragraph">
    <w:name w:val="Footnote"/>
    <w:link w:val="Style_25_ch"/>
    <w:pPr>
      <w:ind w:firstLine="851" w:left="0"/>
      <w:jc w:val="both"/>
    </w:pPr>
    <w:rPr>
      <w:rFonts w:ascii="XO Thames" w:hAnsi="XO Thames"/>
      <w:sz w:val="22"/>
    </w:rPr>
  </w:style>
  <w:style w:styleId="Style_25_ch" w:type="character">
    <w:name w:val="Footnote"/>
    <w:link w:val="Style_25"/>
    <w:rPr>
      <w:rFonts w:ascii="XO Thames" w:hAnsi="XO Thames"/>
      <w:sz w:val="22"/>
    </w:rPr>
  </w:style>
  <w:style w:styleId="Style_26" w:type="paragraph">
    <w:name w:val="toc 1"/>
    <w:next w:val="Style_5"/>
    <w:link w:val="Style_26_ch"/>
    <w:uiPriority w:val="39"/>
    <w:pPr>
      <w:ind w:firstLine="0" w:left="0"/>
      <w:jc w:val="left"/>
    </w:pPr>
    <w:rPr>
      <w:rFonts w:ascii="XO Thames" w:hAnsi="XO Thames"/>
      <w:b w:val="1"/>
      <w:sz w:val="28"/>
    </w:rPr>
  </w:style>
  <w:style w:styleId="Style_26_ch" w:type="character">
    <w:name w:val="toc 1"/>
    <w:link w:val="Style_26"/>
    <w:rPr>
      <w:rFonts w:ascii="XO Thames" w:hAnsi="XO Thames"/>
      <w:b w:val="1"/>
      <w:sz w:val="28"/>
    </w:rPr>
  </w:style>
  <w:style w:styleId="Style_27" w:type="paragraph">
    <w:name w:val="Header and Footer"/>
    <w:link w:val="Style_27_ch"/>
    <w:pPr>
      <w:spacing w:line="240" w:lineRule="auto"/>
      <w:ind/>
      <w:jc w:val="both"/>
    </w:pPr>
    <w:rPr>
      <w:rFonts w:ascii="XO Thames" w:hAnsi="XO Thames"/>
      <w:sz w:val="20"/>
    </w:rPr>
  </w:style>
  <w:style w:styleId="Style_27_ch" w:type="character">
    <w:name w:val="Header and Footer"/>
    <w:link w:val="Style_27"/>
    <w:rPr>
      <w:rFonts w:ascii="XO Thames" w:hAnsi="XO Thames"/>
      <w:sz w:val="20"/>
    </w:rPr>
  </w:style>
  <w:style w:styleId="Style_28" w:type="paragraph">
    <w:name w:val="toc 9"/>
    <w:next w:val="Style_5"/>
    <w:link w:val="Style_28_ch"/>
    <w:uiPriority w:val="39"/>
    <w:pPr>
      <w:ind w:firstLine="0" w:left="1600"/>
      <w:jc w:val="left"/>
    </w:pPr>
    <w:rPr>
      <w:rFonts w:ascii="XO Thames" w:hAnsi="XO Thames"/>
      <w:sz w:val="28"/>
    </w:rPr>
  </w:style>
  <w:style w:styleId="Style_28_ch" w:type="character">
    <w:name w:val="toc 9"/>
    <w:link w:val="Style_28"/>
    <w:rPr>
      <w:rFonts w:ascii="XO Thames" w:hAnsi="XO Thames"/>
      <w:sz w:val="28"/>
    </w:rPr>
  </w:style>
  <w:style w:styleId="Style_29" w:type="paragraph">
    <w:name w:val="Body Text 2"/>
    <w:basedOn w:val="Style_5"/>
    <w:link w:val="Style_29_ch"/>
    <w:pPr>
      <w:spacing w:after="120" w:line="480" w:lineRule="auto"/>
      <w:ind/>
    </w:pPr>
    <w:rPr>
      <w:sz w:val="20"/>
    </w:rPr>
  </w:style>
  <w:style w:styleId="Style_29_ch" w:type="character">
    <w:name w:val="Body Text 2"/>
    <w:basedOn w:val="Style_5_ch"/>
    <w:link w:val="Style_29"/>
    <w:rPr>
      <w:sz w:val="20"/>
    </w:rPr>
  </w:style>
  <w:style w:styleId="Style_30" w:type="paragraph">
    <w:name w:val="toc 8"/>
    <w:next w:val="Style_5"/>
    <w:link w:val="Style_30_ch"/>
    <w:uiPriority w:val="39"/>
    <w:pPr>
      <w:ind w:firstLine="0" w:left="1400"/>
      <w:jc w:val="left"/>
    </w:pPr>
    <w:rPr>
      <w:rFonts w:ascii="XO Thames" w:hAnsi="XO Thames"/>
      <w:sz w:val="28"/>
    </w:rPr>
  </w:style>
  <w:style w:styleId="Style_30_ch" w:type="character">
    <w:name w:val="toc 8"/>
    <w:link w:val="Style_30"/>
    <w:rPr>
      <w:rFonts w:ascii="XO Thames" w:hAnsi="XO Thames"/>
      <w:sz w:val="28"/>
    </w:rPr>
  </w:style>
  <w:style w:styleId="Style_31" w:type="paragraph">
    <w:name w:val="toc 5"/>
    <w:next w:val="Style_5"/>
    <w:link w:val="Style_31_ch"/>
    <w:uiPriority w:val="39"/>
    <w:pPr>
      <w:ind w:firstLine="0" w:left="800"/>
      <w:jc w:val="left"/>
    </w:pPr>
    <w:rPr>
      <w:rFonts w:ascii="XO Thames" w:hAnsi="XO Thames"/>
      <w:sz w:val="28"/>
    </w:rPr>
  </w:style>
  <w:style w:styleId="Style_31_ch" w:type="character">
    <w:name w:val="toc 5"/>
    <w:link w:val="Style_31"/>
    <w:rPr>
      <w:rFonts w:ascii="XO Thames" w:hAnsi="XO Thames"/>
      <w:sz w:val="28"/>
    </w:rPr>
  </w:style>
  <w:style w:styleId="Style_32" w:type="paragraph">
    <w:name w:val="No Spacing"/>
    <w:link w:val="Style_32_ch"/>
    <w:rPr>
      <w:sz w:val="22"/>
    </w:rPr>
  </w:style>
  <w:style w:styleId="Style_32_ch" w:type="character">
    <w:name w:val="No Spacing"/>
    <w:link w:val="Style_32"/>
    <w:rPr>
      <w:sz w:val="22"/>
    </w:rPr>
  </w:style>
  <w:style w:styleId="Style_33" w:type="paragraph">
    <w:name w:val="Subtitle"/>
    <w:next w:val="Style_5"/>
    <w:link w:val="Style_33_ch"/>
    <w:uiPriority w:val="11"/>
    <w:qFormat/>
    <w:pPr>
      <w:ind/>
      <w:jc w:val="both"/>
    </w:pPr>
    <w:rPr>
      <w:rFonts w:ascii="XO Thames" w:hAnsi="XO Thames"/>
      <w:i w:val="1"/>
      <w:sz w:val="24"/>
    </w:rPr>
  </w:style>
  <w:style w:styleId="Style_33_ch" w:type="character">
    <w:name w:val="Subtitle"/>
    <w:link w:val="Style_33"/>
    <w:rPr>
      <w:rFonts w:ascii="XO Thames" w:hAnsi="XO Thames"/>
      <w:i w:val="1"/>
      <w:sz w:val="24"/>
    </w:rPr>
  </w:style>
  <w:style w:styleId="Style_34" w:type="paragraph">
    <w:name w:val="Title"/>
    <w:next w:val="Style_5"/>
    <w:link w:val="Style_34_ch"/>
    <w:uiPriority w:val="10"/>
    <w:qFormat/>
    <w:pPr>
      <w:spacing w:after="567" w:before="567"/>
      <w:ind/>
      <w:jc w:val="center"/>
    </w:pPr>
    <w:rPr>
      <w:rFonts w:ascii="XO Thames" w:hAnsi="XO Thames"/>
      <w:b w:val="1"/>
      <w:caps w:val="1"/>
      <w:sz w:val="40"/>
    </w:rPr>
  </w:style>
  <w:style w:styleId="Style_34_ch" w:type="character">
    <w:name w:val="Title"/>
    <w:link w:val="Style_34"/>
    <w:rPr>
      <w:rFonts w:ascii="XO Thames" w:hAnsi="XO Thames"/>
      <w:b w:val="1"/>
      <w:caps w:val="1"/>
      <w:sz w:val="40"/>
    </w:rPr>
  </w:style>
  <w:style w:styleId="Style_35" w:type="paragraph">
    <w:name w:val="heading 4"/>
    <w:basedOn w:val="Style_5"/>
    <w:next w:val="Style_5"/>
    <w:link w:val="Style_35_ch"/>
    <w:uiPriority w:val="9"/>
    <w:qFormat/>
    <w:pPr>
      <w:keepNext w:val="1"/>
      <w:spacing w:after="60" w:before="240"/>
      <w:ind/>
      <w:outlineLvl w:val="3"/>
    </w:pPr>
    <w:rPr>
      <w:rFonts w:ascii="Calibri" w:hAnsi="Calibri"/>
      <w:b w:val="1"/>
      <w:sz w:val="28"/>
    </w:rPr>
  </w:style>
  <w:style w:styleId="Style_35_ch" w:type="character">
    <w:name w:val="heading 4"/>
    <w:basedOn w:val="Style_5_ch"/>
    <w:link w:val="Style_35"/>
    <w:rPr>
      <w:rFonts w:ascii="Calibri" w:hAnsi="Calibri"/>
      <w:b w:val="1"/>
      <w:sz w:val="28"/>
    </w:rPr>
  </w:style>
  <w:style w:styleId="Style_3" w:type="paragraph">
    <w:name w:val="heading 2"/>
    <w:basedOn w:val="Style_5"/>
    <w:next w:val="Style_5"/>
    <w:link w:val="Style_3_ch"/>
    <w:uiPriority w:val="9"/>
    <w:qFormat/>
    <w:pPr>
      <w:keepNext w:val="1"/>
      <w:keepLines w:val="1"/>
      <w:spacing w:before="200"/>
      <w:ind/>
      <w:outlineLvl w:val="1"/>
    </w:pPr>
    <w:rPr>
      <w:rFonts w:ascii="Cambria" w:hAnsi="Cambria"/>
      <w:b w:val="1"/>
      <w:color w:val="4F81BD"/>
      <w:sz w:val="26"/>
    </w:rPr>
  </w:style>
  <w:style w:styleId="Style_3_ch" w:type="character">
    <w:name w:val="heading 2"/>
    <w:basedOn w:val="Style_5_ch"/>
    <w:link w:val="Style_3"/>
    <w:rPr>
      <w:rFonts w:ascii="Cambria" w:hAnsi="Cambria"/>
      <w:b w:val="1"/>
      <w:color w:val="4F81BD"/>
      <w:sz w:val="26"/>
    </w:rPr>
  </w:style>
  <w:style w:default="1" w:styleId="Style_2" w:type="table">
    <w:name w:val="Normal Table"/>
    <w:tblPr>
      <w:tblInd w:type="dxa" w:w="0"/>
      <w:tblCellMar>
        <w:top w:type="dxa" w:w="0"/>
        <w:left w:type="dxa" w:w="108"/>
        <w:bottom w:type="dxa" w:w="0"/>
        <w:right w:type="dxa" w:w="108"/>
      </w:tblCellMar>
    </w:tblPr>
  </w:style>
  <w:style w:styleId="Style_36" w:type="table">
    <w:name w:val="Table Grid"/>
    <w:basedOn w:val="Style_2"/>
    <w:rPr>
      <w:rFonts w:ascii="Times New Roman" w:hAnsi="Times New Roman"/>
    </w:rPr>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2025-03-24T08:34:55Z</dcterms:modified>
</cp:coreProperties>
</file>